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sz w:val="24"/>
          <w:szCs w:val="24"/>
          <w:rtl w:val="0"/>
        </w:rPr>
        <w:t xml:space="preserve">Metadato Límites de centro de población del Programa Municipal de Desarrollo Urbano Tapalpa, octubre 2021</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Nova" w:cs="Arial Nova" w:eastAsia="Arial Nova" w:hAnsi="Arial Nova"/>
          <w:b w:val="0"/>
          <w:i w:val="0"/>
          <w:smallCaps w:val="0"/>
          <w:strike w:val="0"/>
          <w:color w:val="000000"/>
          <w:sz w:val="24"/>
          <w:szCs w:val="24"/>
          <w:u w:val="none"/>
          <w:shd w:fill="auto" w:val="clear"/>
          <w:vertAlign w:val="baseline"/>
        </w:rPr>
      </w:pPr>
      <w:r w:rsidDel="00000000" w:rsidR="00000000" w:rsidRPr="00000000">
        <w:rPr>
          <w:rFonts w:ascii="Arial Nova" w:cs="Arial Nova" w:eastAsia="Arial Nova" w:hAnsi="Arial Nova"/>
          <w:b w:val="0"/>
          <w:i w:val="0"/>
          <w:smallCaps w:val="0"/>
          <w:strike w:val="0"/>
          <w:color w:val="000000"/>
          <w:sz w:val="24"/>
          <w:szCs w:val="24"/>
          <w:u w:val="none"/>
          <w:shd w:fill="auto" w:val="clear"/>
          <w:vertAlign w:val="baseline"/>
          <w:rtl w:val="0"/>
        </w:rPr>
        <w:t xml:space="preserve">Descripción y características técnicas de la capa de</w:t>
      </w:r>
      <w:r w:rsidDel="00000000" w:rsidR="00000000" w:rsidRPr="00000000">
        <w:rPr>
          <w:rFonts w:ascii="Arial Nova" w:cs="Arial Nova" w:eastAsia="Arial Nova" w:hAnsi="Arial Nova"/>
          <w:sz w:val="24"/>
          <w:szCs w:val="24"/>
          <w:rtl w:val="0"/>
        </w:rPr>
        <w:t xml:space="preserve"> Límites de centro de población</w:t>
      </w:r>
      <w:r w:rsidDel="00000000" w:rsidR="00000000" w:rsidRPr="00000000">
        <w:rPr>
          <w:rFonts w:ascii="Arial Nova" w:cs="Arial Nova" w:eastAsia="Arial Nova" w:hAnsi="Arial Nov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ind w:left="360" w:firstLine="0"/>
        <w:rPr>
          <w:rFonts w:ascii="Arial Nova" w:cs="Arial Nova" w:eastAsia="Arial Nova" w:hAnsi="Arial Nova"/>
        </w:rPr>
      </w:pPr>
      <w:r w:rsidDel="00000000" w:rsidR="00000000" w:rsidRPr="00000000">
        <w:rPr>
          <w:rtl w:val="0"/>
        </w:rPr>
      </w:r>
    </w:p>
    <w:p w:rsidR="00000000" w:rsidDel="00000000" w:rsidP="00000000" w:rsidRDefault="00000000" w:rsidRPr="00000000" w14:paraId="00000005">
      <w:pPr>
        <w:ind w:left="360" w:firstLine="0"/>
        <w:jc w:val="center"/>
        <w:rPr>
          <w:b w:val="1"/>
          <w:i w:val="1"/>
        </w:rPr>
      </w:pPr>
      <w:r w:rsidDel="00000000" w:rsidR="00000000" w:rsidRPr="00000000">
        <w:rPr>
          <w:rFonts w:ascii="Arial Nova" w:cs="Arial Nova" w:eastAsia="Arial Nova" w:hAnsi="Arial Nova"/>
          <w:b w:val="1"/>
          <w:i w:val="1"/>
          <w:rtl w:val="0"/>
        </w:rPr>
        <w:t xml:space="preserve">Cuadro 1. Información General y detalles técnicos de importancia.</w:t>
      </w:r>
      <w:r w:rsidDel="00000000" w:rsidR="00000000" w:rsidRPr="00000000">
        <w:rPr>
          <w:rtl w:val="0"/>
        </w:rPr>
      </w:r>
    </w:p>
    <w:tbl>
      <w:tblPr>
        <w:tblStyle w:val="Table1"/>
        <w:tblW w:w="9029.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
        <w:gridCol w:w="4515"/>
        <w:tblGridChange w:id="0">
          <w:tblGrid>
            <w:gridCol w:w="4514"/>
            <w:gridCol w:w="4515"/>
          </w:tblGrid>
        </w:tblGridChange>
      </w:tblGrid>
      <w:tr>
        <w:trPr>
          <w:cantSplit w:val="0"/>
          <w:tblHeader w:val="0"/>
        </w:trPr>
        <w:tc>
          <w:tcPr>
            <w:shd w:fill="d99594"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REQUERIMIENTOS</w:t>
            </w:r>
          </w:p>
        </w:tc>
        <w:tc>
          <w:tcPr>
            <w:shd w:fill="d99594"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DETALLES</w:t>
            </w:r>
          </w:p>
        </w:tc>
      </w:tr>
      <w:tr>
        <w:trPr>
          <w:cantSplit w:val="0"/>
          <w:trHeight w:val="87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Título </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Programa Municipal de Desarrollo Urbano Tapalpa, Capa Límites de centro de población Tapalpa.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Autor del metadato</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Coordinación General de Geomática e Información Ambiental y Territorial de la Dirección Ejecutiva de Planeación, Ordenamiento Territorial y Gestión Urbana (DEPOTGU-SEMADET).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Contactos</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Aldo Javier Gil Pérez</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sz w:val="18"/>
                <w:szCs w:val="18"/>
              </w:rPr>
            </w:pPr>
            <w:hyperlink r:id="rId7">
              <w:r w:rsidDel="00000000" w:rsidR="00000000" w:rsidRPr="00000000">
                <w:rPr>
                  <w:rFonts w:ascii="Arial Nova" w:cs="Arial Nova" w:eastAsia="Arial Nova" w:hAnsi="Arial Nova"/>
                  <w:color w:val="0000ff"/>
                  <w:sz w:val="18"/>
                  <w:szCs w:val="18"/>
                  <w:u w:val="single"/>
                  <w:rtl w:val="0"/>
                </w:rPr>
                <w:t xml:space="preserve">ordenamientoecologico.semadet@jalisco.gob.mx</w:t>
              </w:r>
            </w:hyperlink>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Josué Díaz Vázquez</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pPr>
            <w:hyperlink r:id="rId8">
              <w:r w:rsidDel="00000000" w:rsidR="00000000" w:rsidRPr="00000000">
                <w:rPr>
                  <w:color w:val="1155cc"/>
                  <w:u w:val="single"/>
                  <w:rtl w:val="0"/>
                </w:rPr>
                <w:t xml:space="preserve">josue.diaz@jalisco.gob.mx</w:t>
              </w:r>
            </w:hyperlink>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Alejandra Aguilar Ramírez</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pPr>
            <w:hyperlink r:id="rId9">
              <w:r w:rsidDel="00000000" w:rsidR="00000000" w:rsidRPr="00000000">
                <w:rPr>
                  <w:color w:val="1155cc"/>
                  <w:u w:val="single"/>
                  <w:rtl w:val="0"/>
                </w:rPr>
                <w:t xml:space="preserve">alejandra.aguilarramirez@jalisco.gob.mx</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Organización</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Secretaría de Medio Ambiente y Desarrollo Territorial de Jalisco (SEMADET)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Puesto del contacto</w:t>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Director de Ordenamiento Ecológico y Territorial</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Director Ejecutivo de Planeación, Ordenamiento Territorial y Gestión Urbana</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Coordinadora General de Geomática e Información Ambiental y Territorial.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Teléfonos</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30308262 ext. 55721</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30308250 ext. 55717</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 8250 ext. 55772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Resumen/Descripción:</w:t>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Capa vectorial que muestra los límites de centro de población correspondientes al municipio de Tapalpa</w:t>
            </w:r>
          </w:p>
        </w:tc>
      </w:tr>
      <w:tr>
        <w:trPr>
          <w:cantSplit w:val="0"/>
          <w:trHeight w:val="99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Objetivo</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Mostrar de manera espacial el resultado del Programa Municipal de Desarrollo Urbano Tapalpa.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Palabras clave</w:t>
            </w:r>
          </w:p>
        </w:tc>
        <w:tc>
          <w:tcPr>
            <w:shd w:fill="auto" w:val="clear"/>
            <w:tcMar>
              <w:top w:w="100.0" w:type="dxa"/>
              <w:left w:w="100.0" w:type="dxa"/>
              <w:bottom w:w="100.0" w:type="dxa"/>
              <w:right w:w="100.0" w:type="dxa"/>
            </w:tcMar>
          </w:tcPr>
          <w:p w:rsidR="00000000" w:rsidDel="00000000" w:rsidP="00000000" w:rsidRDefault="00000000" w:rsidRPr="00000000" w14:paraId="00000032">
            <w:pPr>
              <w:spacing w:line="240" w:lineRule="auto"/>
              <w:rPr>
                <w:rFonts w:ascii="Arial Nova" w:cs="Arial Nova" w:eastAsia="Arial Nova" w:hAnsi="Arial Nova"/>
              </w:rPr>
            </w:pPr>
            <w:r w:rsidDel="00000000" w:rsidR="00000000" w:rsidRPr="00000000">
              <w:rPr>
                <w:rFonts w:ascii="Arial Nova" w:cs="Arial Nova" w:eastAsia="Arial Nova" w:hAnsi="Arial Nova"/>
                <w:i w:val="1"/>
                <w:rtl w:val="0"/>
              </w:rPr>
              <w:t xml:space="preserve">Desarrollo urbano, Tapalpa, límites de centro de población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Idioma</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 </w:t>
            </w:r>
            <w:r w:rsidDel="00000000" w:rsidR="00000000" w:rsidRPr="00000000">
              <w:rPr>
                <w:rFonts w:ascii="Arial Nova" w:cs="Arial Nova" w:eastAsia="Arial Nova" w:hAnsi="Arial Nova"/>
                <w:i w:val="1"/>
                <w:rtl w:val="0"/>
              </w:rPr>
              <w:t xml:space="preserve">-Es- Español</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sz w:val="24"/>
                <w:szCs w:val="24"/>
              </w:rPr>
            </w:pPr>
            <w:r w:rsidDel="00000000" w:rsidR="00000000" w:rsidRPr="00000000">
              <w:rPr>
                <w:rFonts w:ascii="Arial Rounded" w:cs="Arial Rounded" w:eastAsia="Arial Rounded" w:hAnsi="Arial Rounded"/>
                <w:b w:val="1"/>
                <w:sz w:val="24"/>
                <w:szCs w:val="24"/>
                <w:rtl w:val="0"/>
              </w:rPr>
              <w:t xml:space="preserve">Distribución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Tipo de acceso</w:t>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Público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Restricciones de acceso</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Sin restricciones: No existen restricciones para el producto o conjunto de datos espaciales; favor de dar el debido crédito en caso de uso, parcial o total.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Uso específico</w:t>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Para uso de los proyectos que genera la Secretaría de Medio Ambiente y Desarrollo territorial (SEMADET), en alianza con el sector productivo o cualquier otra dependencia o público interesado.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Tipo de datos</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Vectorial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Formato</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GeoPackage  </w:t>
            </w:r>
            <w:r w:rsidDel="00000000" w:rsidR="00000000" w:rsidRPr="00000000">
              <w:rPr>
                <w:rFonts w:ascii="Arial Nova" w:cs="Arial Nova" w:eastAsia="Arial Nova" w:hAnsi="Arial Nova"/>
                <w:i w:val="1"/>
                <w:rtl w:val="0"/>
              </w:rPr>
              <w:t xml:space="preserve">(.gpkg), </w:t>
            </w:r>
            <w:r w:rsidDel="00000000" w:rsidR="00000000" w:rsidRPr="00000000">
              <w:rPr>
                <w:rFonts w:ascii="Arial Nova" w:cs="Arial Nova" w:eastAsia="Arial Nova" w:hAnsi="Arial Nova"/>
                <w:rtl w:val="0"/>
              </w:rPr>
              <w:t xml:space="preserve">Shapefile</w:t>
            </w:r>
            <w:r w:rsidDel="00000000" w:rsidR="00000000" w:rsidRPr="00000000">
              <w:rPr>
                <w:rFonts w:ascii="Arial Nova" w:cs="Arial Nova" w:eastAsia="Arial Nova" w:hAnsi="Arial Nova"/>
                <w:i w:val="1"/>
                <w:rtl w:val="0"/>
              </w:rPr>
              <w:t xml:space="preserve"> (.shp), Keyhole Markup Language (.kml)</w:t>
            </w:r>
            <w:r w:rsidDel="00000000" w:rsidR="00000000" w:rsidRPr="00000000">
              <w:rPr>
                <w:rtl w:val="0"/>
              </w:rPr>
            </w:r>
          </w:p>
        </w:tc>
      </w:tr>
      <w:tr>
        <w:trPr>
          <w:cantSplit w:val="0"/>
          <w:trHeight w:val="49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Nombre del archivo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21_OT_MpoTapalpa_LCP</w:t>
            </w:r>
          </w:p>
        </w:tc>
      </w:tr>
      <w:tr>
        <w:trPr>
          <w:cantSplit w:val="0"/>
          <w:trHeight w:val="45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Liga para su descarga</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color w:val="0000ff"/>
                <w:u w:val="single"/>
              </w:rPr>
            </w:pPr>
            <w:hyperlink r:id="rId10">
              <w:r w:rsidDel="00000000" w:rsidR="00000000" w:rsidRPr="00000000">
                <w:rPr>
                  <w:rFonts w:ascii="Arial Nova" w:cs="Arial Nova" w:eastAsia="Arial Nova" w:hAnsi="Arial Nova"/>
                  <w:color w:val="0000ff"/>
                  <w:u w:val="single"/>
                  <w:rtl w:val="0"/>
                </w:rPr>
                <w:t xml:space="preserve">https://mapa.jalisco.gob.mx/mapa</w:t>
              </w:r>
            </w:hyperlink>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color w:val="0000ff"/>
                <w:u w:val="single"/>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color w:val="0000ff"/>
                <w:u w:val="single"/>
                <w:rtl w:val="0"/>
              </w:rPr>
              <w:t xml:space="preserve">https://datos.jalisco.gob.mx/</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Fecha de publicación</w:t>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Julio 2021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Frecuencia de actualización</w:t>
            </w:r>
          </w:p>
        </w:tc>
        <w:tc>
          <w:tcPr>
            <w:shd w:fill="auto" w:val="clear"/>
            <w:tcMar>
              <w:top w:w="100.0" w:type="dxa"/>
              <w:left w:w="100.0" w:type="dxa"/>
              <w:bottom w:w="100.0" w:type="dxa"/>
              <w:right w:w="10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No programado: la actualización de los datos no está planeada.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Versión</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Versión Final, octubre 2021</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i w:val="1"/>
                <w:sz w:val="24"/>
                <w:szCs w:val="24"/>
              </w:rPr>
            </w:pPr>
            <w:r w:rsidDel="00000000" w:rsidR="00000000" w:rsidRPr="00000000">
              <w:rPr>
                <w:rFonts w:ascii="Arial Rounded" w:cs="Arial Rounded" w:eastAsia="Arial Rounded" w:hAnsi="Arial Rounded"/>
                <w:b w:val="1"/>
                <w:sz w:val="24"/>
                <w:szCs w:val="24"/>
                <w:rtl w:val="0"/>
              </w:rPr>
              <w:t xml:space="preserve">Parámetros y Sistema de Referencia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Proyección cartográfica</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Universal Transversa Mercator (32613 Authority: EPSG)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Modelo Geodésico</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D_WGS_1984</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Parámetros</w:t>
            </w:r>
          </w:p>
        </w:tc>
        <w:tc>
          <w:tcPr>
            <w:shd w:fill="auto" w:val="clear"/>
            <w:tcMar>
              <w:top w:w="100.0" w:type="dxa"/>
              <w:left w:w="100.0" w:type="dxa"/>
              <w:bottom w:w="100.0" w:type="dxa"/>
              <w:right w:w="100.0" w:type="dxa"/>
            </w:tcMar>
          </w:tcPr>
          <w:p w:rsidR="00000000" w:rsidDel="00000000" w:rsidP="00000000" w:rsidRDefault="00000000" w:rsidRPr="00000000" w14:paraId="00000054">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Factor de escala en el meridiano central: 0.9996</w:t>
            </w:r>
          </w:p>
          <w:p w:rsidR="00000000" w:rsidDel="00000000" w:rsidP="00000000" w:rsidRDefault="00000000" w:rsidRPr="00000000" w14:paraId="00000055">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Longitud meridiano central: -105</w:t>
            </w:r>
          </w:p>
          <w:p w:rsidR="00000000" w:rsidDel="00000000" w:rsidP="00000000" w:rsidRDefault="00000000" w:rsidRPr="00000000" w14:paraId="00000056">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latitud del origen de proyección: 0.0</w:t>
            </w:r>
          </w:p>
          <w:p w:rsidR="00000000" w:rsidDel="00000000" w:rsidP="00000000" w:rsidRDefault="00000000" w:rsidRPr="00000000" w14:paraId="00000057">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falso norte: 0 .0</w:t>
            </w:r>
          </w:p>
          <w:p w:rsidR="00000000" w:rsidDel="00000000" w:rsidP="00000000" w:rsidRDefault="00000000" w:rsidRPr="00000000" w14:paraId="00000058">
            <w:pP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falso este: 500 000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Unidad Mínima Mapeable</w:t>
            </w:r>
          </w:p>
        </w:tc>
        <w:tc>
          <w:tcPr>
            <w:shd w:fill="auto" w:val="clear"/>
            <w:tcMar>
              <w:top w:w="100.0" w:type="dxa"/>
              <w:left w:w="100.0" w:type="dxa"/>
              <w:bottom w:w="100.0" w:type="dxa"/>
              <w:right w:w="100.0" w:type="dxa"/>
            </w:tcM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40,000 m2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Escala</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1:50,000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Unidades del mapa</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metros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Extensión</w:t>
            </w:r>
          </w:p>
        </w:tc>
        <w:tc>
          <w:tcPr>
            <w:shd w:fill="auto" w:val="clear"/>
            <w:tcMar>
              <w:top w:w="100.0" w:type="dxa"/>
              <w:left w:w="100.0" w:type="dxa"/>
              <w:bottom w:w="100.0" w:type="dxa"/>
              <w:right w:w="100.0" w:type="dxa"/>
            </w:tcMar>
          </w:tcPr>
          <w:p w:rsidR="00000000" w:rsidDel="00000000" w:rsidP="00000000" w:rsidRDefault="00000000" w:rsidRPr="00000000" w14:paraId="00000060">
            <w:pPr>
              <w:spacing w:line="240" w:lineRule="auto"/>
              <w:rPr>
                <w:rFonts w:ascii="Arial Nova" w:cs="Arial Nova" w:eastAsia="Arial Nova" w:hAnsi="Arial Nova"/>
                <w:i w:val="1"/>
                <w:sz w:val="10"/>
                <w:szCs w:val="10"/>
              </w:rPr>
            </w:pPr>
            <w:r w:rsidDel="00000000" w:rsidR="00000000" w:rsidRPr="00000000">
              <w:rPr>
                <w:rFonts w:ascii="Arial Nova" w:cs="Arial Nova" w:eastAsia="Arial Nova" w:hAnsi="Arial Nova"/>
                <w:sz w:val="16"/>
                <w:szCs w:val="16"/>
                <w:rtl w:val="0"/>
              </w:rPr>
              <w:t xml:space="preserve">627427.8328212590422481,2203575.8456000001169741 : 638271.2608499999623746,2216430.3144000000320375</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highlight w:val="yellow"/>
              </w:rPr>
            </w:pPr>
            <w:r w:rsidDel="00000000" w:rsidR="00000000" w:rsidRPr="00000000">
              <w:rPr>
                <w:rFonts w:ascii="Arial Nova" w:cs="Arial Nova" w:eastAsia="Arial Nova" w:hAnsi="Arial Nova"/>
                <w:rtl w:val="0"/>
              </w:rPr>
              <w:t xml:space="preserve">Superficie reportada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850 ha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Validación del Producto</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Mtro. Aldo Javier Gil Pérez</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Dirección de Ordenamiento Ecológico y Territorial.</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i w:val="1"/>
                <w:sz w:val="20"/>
                <w:szCs w:val="20"/>
              </w:rPr>
            </w:pPr>
            <w:r w:rsidDel="00000000" w:rsidR="00000000" w:rsidRPr="00000000">
              <w:rPr>
                <w:rFonts w:ascii="Arial Rounded" w:cs="Arial Rounded" w:eastAsia="Arial Rounded" w:hAnsi="Arial Rounded"/>
                <w:b w:val="1"/>
                <w:rtl w:val="0"/>
              </w:rPr>
              <w:t xml:space="preserve">Declaración de Calidad de los datos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Enunciado</w:t>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-Cartografía derivada del análisis de múltiples capas vectoriales como uso de suelo y vegetación, conflictos territoriales, aptitudes sectoriales, microcuencas, etc.</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tl w:val="0"/>
              </w:rPr>
            </w:r>
          </w:p>
        </w:tc>
      </w:tr>
      <w:tr>
        <w:trPr>
          <w:cantSplit w:val="0"/>
          <w:trHeight w:val="279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Descripción de la Fuente</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E">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INEGI, CONAFOR, CONABIO, SEMARNAT y SEMADET. (2019). Uso de Suelo y Vegetación de Jalisco escala 1: 50 000 (Sistema MAD-Mex (Monitoring Activity Data for the Mexican REDD+ program). Instituto Nacional de Estadística y Geografía, Comisión Nacional Forestal, Comisión Nacional para el Conocimiento y Uso de la Biodiversidad, Secretaría de Medio Ambiente y Recursos Naturales, Secretaría de Medio Ambiente y Desarrollo Territorial.</w:t>
            </w:r>
          </w:p>
          <w:p w:rsidR="00000000" w:rsidDel="00000000" w:rsidP="00000000" w:rsidRDefault="00000000" w:rsidRPr="00000000" w14:paraId="0000006F">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IIEG. (2012). Atlas de caminos y carreteras del estado de Jalisco. escala 1:50,000. Instituto de Información Estadística y Geográfica de Jalisco.</w:t>
            </w:r>
          </w:p>
          <w:p w:rsidR="00000000" w:rsidDel="00000000" w:rsidP="00000000" w:rsidRDefault="00000000" w:rsidRPr="00000000" w14:paraId="00000070">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INEGI. (2010). Red Hidrográfica escala Edición: 2.0. Escala 1:50,000. Instituto Nacional de Estadística y Geografía.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Descripción de los pasos del proceso</w:t>
            </w:r>
          </w:p>
        </w:tc>
        <w:tc>
          <w:tcPr>
            <w:shd w:fill="auto" w:val="clear"/>
            <w:tcMar>
              <w:top w:w="100.0" w:type="dxa"/>
              <w:left w:w="100.0" w:type="dxa"/>
              <w:bottom w:w="100.0" w:type="dxa"/>
              <w:right w:w="100.0" w:type="dxa"/>
            </w:tcMar>
          </w:tcPr>
          <w:p w:rsidR="00000000" w:rsidDel="00000000" w:rsidP="00000000" w:rsidRDefault="00000000" w:rsidRPr="00000000" w14:paraId="00000072">
            <w:pPr>
              <w:numPr>
                <w:ilvl w:val="0"/>
                <w:numId w:val="1"/>
              </w:numPr>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A partir del análisis de aptitud territorial para el sector urbano y la capa de políticas ambientales del Programa de Ordenamiento Ecológico Regional, se creó un polígono para delimitar el centro de población que contempla la superficie urbanizable necesaria para acomodar la demanda de suelo. Esta última se construye a partir del crecimiento demográfico y la dinámica de crecimiento de las actividades económicas. En algunos casos se contemplan áreas de transición ecológica (suelo no urbanizable) cuando hay una alta fragmentación del asentamiento humano</w:t>
            </w:r>
          </w:p>
          <w:p w:rsidR="00000000" w:rsidDel="00000000" w:rsidP="00000000" w:rsidRDefault="00000000" w:rsidRPr="00000000" w14:paraId="00000073">
            <w:pPr>
              <w:numPr>
                <w:ilvl w:val="0"/>
                <w:numId w:val="1"/>
              </w:numPr>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En la tabla de atributos se ingresó la información del nombre, municipio e instrumento de ordenamiento urbano correspondiente al centro de población.</w:t>
            </w:r>
          </w:p>
        </w:tc>
      </w:tr>
    </w:tbl>
    <w:p w:rsidR="00000000" w:rsidDel="00000000" w:rsidP="00000000" w:rsidRDefault="00000000" w:rsidRPr="00000000" w14:paraId="00000074">
      <w:pPr>
        <w:rPr>
          <w:rFonts w:ascii="Arial Nova" w:cs="Arial Nova" w:eastAsia="Arial Nova" w:hAnsi="Arial Nova"/>
          <w:b w:val="1"/>
        </w:rPr>
      </w:pPr>
      <w:r w:rsidDel="00000000" w:rsidR="00000000" w:rsidRPr="00000000">
        <w:rPr>
          <w:rtl w:val="0"/>
        </w:rPr>
      </w:r>
    </w:p>
    <w:p w:rsidR="00000000" w:rsidDel="00000000" w:rsidP="00000000" w:rsidRDefault="00000000" w:rsidRPr="00000000" w14:paraId="00000075">
      <w:pPr>
        <w:jc w:val="center"/>
        <w:rPr>
          <w:rFonts w:ascii="Arial Nova" w:cs="Arial Nova" w:eastAsia="Arial Nova" w:hAnsi="Arial Nova"/>
          <w:b w:val="1"/>
          <w:i w:val="1"/>
        </w:rPr>
      </w:pPr>
      <w:r w:rsidDel="00000000" w:rsidR="00000000" w:rsidRPr="00000000">
        <w:rPr>
          <w:rFonts w:ascii="Arial Nova" w:cs="Arial Nova" w:eastAsia="Arial Nova" w:hAnsi="Arial Nova"/>
          <w:b w:val="1"/>
          <w:i w:val="1"/>
          <w:rtl w:val="0"/>
        </w:rPr>
        <w:t xml:space="preserve">Cuadro 2. Estructura de la tabla de atributos de la capa de Zonificación primaria</w:t>
      </w:r>
    </w:p>
    <w:tbl>
      <w:tblPr>
        <w:tblStyle w:val="Table2"/>
        <w:tblW w:w="90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17"/>
        <w:gridCol w:w="2239"/>
        <w:gridCol w:w="2319"/>
        <w:gridCol w:w="2244"/>
        <w:tblGridChange w:id="0">
          <w:tblGrid>
            <w:gridCol w:w="2217"/>
            <w:gridCol w:w="2239"/>
            <w:gridCol w:w="2319"/>
            <w:gridCol w:w="2244"/>
          </w:tblGrid>
        </w:tblGridChange>
      </w:tblGrid>
      <w:tr>
        <w:trPr>
          <w:cantSplit w:val="0"/>
          <w:tblHeader w:val="0"/>
        </w:trPr>
        <w:tc>
          <w:tcPr>
            <w:shd w:fill="d99594" w:val="clear"/>
          </w:tcPr>
          <w:p w:rsidR="00000000" w:rsidDel="00000000" w:rsidP="00000000" w:rsidRDefault="00000000" w:rsidRPr="00000000" w14:paraId="00000076">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ID</w:t>
            </w:r>
          </w:p>
        </w:tc>
        <w:tc>
          <w:tcPr>
            <w:shd w:fill="d99594" w:val="clear"/>
          </w:tcPr>
          <w:p w:rsidR="00000000" w:rsidDel="00000000" w:rsidP="00000000" w:rsidRDefault="00000000" w:rsidRPr="00000000" w14:paraId="00000077">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NOMBRE DE LA COLUMNA</w:t>
            </w:r>
          </w:p>
        </w:tc>
        <w:tc>
          <w:tcPr>
            <w:shd w:fill="d99594" w:val="clear"/>
          </w:tcPr>
          <w:p w:rsidR="00000000" w:rsidDel="00000000" w:rsidP="00000000" w:rsidRDefault="00000000" w:rsidRPr="00000000" w14:paraId="00000078">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CARACTERÍSTICAS</w:t>
            </w:r>
          </w:p>
        </w:tc>
        <w:tc>
          <w:tcPr>
            <w:shd w:fill="d99594" w:val="clear"/>
          </w:tcPr>
          <w:p w:rsidR="00000000" w:rsidDel="00000000" w:rsidP="00000000" w:rsidRDefault="00000000" w:rsidRPr="00000000" w14:paraId="00000079">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DESCRIPCIÓN</w:t>
            </w:r>
          </w:p>
        </w:tc>
      </w:tr>
      <w:tr>
        <w:trPr>
          <w:cantSplit w:val="0"/>
          <w:tblHeader w:val="0"/>
        </w:trPr>
        <w:tc>
          <w:tcPr>
            <w:vAlign w:val="center"/>
          </w:tcPr>
          <w:p w:rsidR="00000000" w:rsidDel="00000000" w:rsidP="00000000" w:rsidRDefault="00000000" w:rsidRPr="00000000" w14:paraId="0000007A">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1</w:t>
            </w:r>
          </w:p>
        </w:tc>
        <w:tc>
          <w:tcPr>
            <w:vAlign w:val="center"/>
          </w:tcPr>
          <w:p w:rsidR="00000000" w:rsidDel="00000000" w:rsidP="00000000" w:rsidRDefault="00000000" w:rsidRPr="00000000" w14:paraId="0000007B">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fid</w:t>
            </w:r>
          </w:p>
        </w:tc>
        <w:tc>
          <w:tcPr>
            <w:vAlign w:val="center"/>
          </w:tcPr>
          <w:p w:rsidR="00000000" w:rsidDel="00000000" w:rsidP="00000000" w:rsidRDefault="00000000" w:rsidRPr="00000000" w14:paraId="0000007C">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Object ID (Integer64)</w:t>
            </w:r>
          </w:p>
        </w:tc>
        <w:tc>
          <w:tcPr/>
          <w:p w:rsidR="00000000" w:rsidDel="00000000" w:rsidP="00000000" w:rsidRDefault="00000000" w:rsidRPr="00000000" w14:paraId="0000007D">
            <w:pP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Identificador del objeto.</w:t>
            </w:r>
          </w:p>
        </w:tc>
      </w:tr>
      <w:tr>
        <w:trPr>
          <w:cantSplit w:val="0"/>
          <w:tblHeader w:val="0"/>
        </w:trPr>
        <w:tc>
          <w:tcPr>
            <w:vAlign w:val="center"/>
          </w:tcPr>
          <w:p w:rsidR="00000000" w:rsidDel="00000000" w:rsidP="00000000" w:rsidRDefault="00000000" w:rsidRPr="00000000" w14:paraId="0000007E">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2</w:t>
            </w:r>
          </w:p>
        </w:tc>
        <w:tc>
          <w:tcPr>
            <w:vAlign w:val="center"/>
          </w:tcPr>
          <w:p w:rsidR="00000000" w:rsidDel="00000000" w:rsidP="00000000" w:rsidRDefault="00000000" w:rsidRPr="00000000" w14:paraId="0000007F">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w:t>
            </w:r>
          </w:p>
        </w:tc>
        <w:tc>
          <w:tcPr>
            <w:vAlign w:val="center"/>
          </w:tcPr>
          <w:p w:rsidR="00000000" w:rsidDel="00000000" w:rsidP="00000000" w:rsidRDefault="00000000" w:rsidRPr="00000000" w14:paraId="00000080">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1">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 del centro de población</w:t>
            </w:r>
          </w:p>
        </w:tc>
      </w:tr>
      <w:tr>
        <w:trPr>
          <w:cantSplit w:val="0"/>
          <w:tblHeader w:val="0"/>
        </w:trPr>
        <w:tc>
          <w:tcPr>
            <w:vAlign w:val="center"/>
          </w:tcPr>
          <w:p w:rsidR="00000000" w:rsidDel="00000000" w:rsidP="00000000" w:rsidRDefault="00000000" w:rsidRPr="00000000" w14:paraId="00000082">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3</w:t>
            </w:r>
          </w:p>
        </w:tc>
        <w:tc>
          <w:tcPr>
            <w:vAlign w:val="center"/>
          </w:tcPr>
          <w:p w:rsidR="00000000" w:rsidDel="00000000" w:rsidP="00000000" w:rsidRDefault="00000000" w:rsidRPr="00000000" w14:paraId="00000083">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Municipio</w:t>
            </w:r>
          </w:p>
        </w:tc>
        <w:tc>
          <w:tcPr>
            <w:vAlign w:val="center"/>
          </w:tcPr>
          <w:p w:rsidR="00000000" w:rsidDel="00000000" w:rsidP="00000000" w:rsidRDefault="00000000" w:rsidRPr="00000000" w14:paraId="00000084">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5">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 del municipio</w:t>
            </w:r>
          </w:p>
        </w:tc>
      </w:tr>
      <w:tr>
        <w:trPr>
          <w:cantSplit w:val="0"/>
          <w:trHeight w:val="199.98046875" w:hRule="atLeast"/>
          <w:tblHeader w:val="0"/>
        </w:trPr>
        <w:tc>
          <w:tcPr>
            <w:vAlign w:val="center"/>
          </w:tcPr>
          <w:p w:rsidR="00000000" w:rsidDel="00000000" w:rsidP="00000000" w:rsidRDefault="00000000" w:rsidRPr="00000000" w14:paraId="00000086">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4</w:t>
            </w:r>
          </w:p>
        </w:tc>
        <w:tc>
          <w:tcPr>
            <w:vAlign w:val="center"/>
          </w:tcPr>
          <w:p w:rsidR="00000000" w:rsidDel="00000000" w:rsidP="00000000" w:rsidRDefault="00000000" w:rsidRPr="00000000" w14:paraId="00000087">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PMDU</w:t>
            </w:r>
          </w:p>
        </w:tc>
        <w:tc>
          <w:tcPr>
            <w:vAlign w:val="center"/>
          </w:tcPr>
          <w:p w:rsidR="00000000" w:rsidDel="00000000" w:rsidP="00000000" w:rsidRDefault="00000000" w:rsidRPr="00000000" w14:paraId="00000088">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9">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Instrumento de ordenamiento urbano al que pertenece el centro de población</w:t>
            </w:r>
          </w:p>
        </w:tc>
      </w:tr>
    </w:tbl>
    <w:p w:rsidR="00000000" w:rsidDel="00000000" w:rsidP="00000000" w:rsidRDefault="00000000" w:rsidRPr="00000000" w14:paraId="0000008A">
      <w:pPr>
        <w:rPr>
          <w:rFonts w:ascii="Arial Nova" w:cs="Arial Nova" w:eastAsia="Arial Nova" w:hAnsi="Arial Nova"/>
          <w:b w:val="1"/>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Información Adicional.</w:t>
      </w:r>
    </w:p>
    <w:p w:rsidR="00000000" w:rsidDel="00000000" w:rsidP="00000000" w:rsidRDefault="00000000" w:rsidRPr="00000000" w14:paraId="0000008C">
      <w:pPr>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8D">
      <w:pPr>
        <w:jc w:val="both"/>
        <w:rPr>
          <w:rFonts w:ascii="Arial Nova" w:cs="Arial Nova" w:eastAsia="Arial Nova" w:hAnsi="Arial Nova"/>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Forma de citar.</w:t>
      </w:r>
    </w:p>
    <w:p w:rsidR="00000000" w:rsidDel="00000000" w:rsidP="00000000" w:rsidRDefault="00000000" w:rsidRPr="00000000" w14:paraId="0000008F">
      <w:pPr>
        <w:jc w:val="both"/>
        <w:rPr>
          <w:rFonts w:ascii="Arial Nova" w:cs="Arial Nova" w:eastAsia="Arial Nova" w:hAnsi="Arial Nova"/>
        </w:rPr>
      </w:pPr>
      <w:r w:rsidDel="00000000" w:rsidR="00000000" w:rsidRPr="00000000">
        <w:rPr>
          <w:rFonts w:ascii="Arial Nova" w:cs="Arial Nova" w:eastAsia="Arial Nova" w:hAnsi="Arial Nova"/>
          <w:rtl w:val="0"/>
        </w:rPr>
        <w:t xml:space="preserve"> </w:t>
      </w:r>
    </w:p>
    <w:p w:rsidR="00000000" w:rsidDel="00000000" w:rsidP="00000000" w:rsidRDefault="00000000" w:rsidRPr="00000000" w14:paraId="00000090">
      <w:pPr>
        <w:jc w:val="both"/>
        <w:rPr>
          <w:rFonts w:ascii="Arial Nova" w:cs="Arial Nova" w:eastAsia="Arial Nova" w:hAnsi="Arial Nova"/>
          <w:i w:val="1"/>
        </w:rPr>
      </w:pPr>
      <w:bookmarkStart w:colFirst="0" w:colLast="0" w:name="_heading=h.gjdgxs" w:id="0"/>
      <w:bookmarkEnd w:id="0"/>
      <w:r w:rsidDel="00000000" w:rsidR="00000000" w:rsidRPr="00000000">
        <w:rPr>
          <w:rFonts w:ascii="Arial Nova" w:cs="Arial Nova" w:eastAsia="Arial Nova" w:hAnsi="Arial Nova"/>
          <w:rtl w:val="0"/>
        </w:rPr>
        <w:t xml:space="preserve">SEMADET. (2021).</w:t>
      </w:r>
      <w:r w:rsidDel="00000000" w:rsidR="00000000" w:rsidRPr="00000000">
        <w:rPr>
          <w:rFonts w:ascii="Arial Nova" w:cs="Arial Nova" w:eastAsia="Arial Nova" w:hAnsi="Arial Nova"/>
          <w:i w:val="1"/>
          <w:rtl w:val="0"/>
        </w:rPr>
        <w:t xml:space="preserve"> </w:t>
      </w:r>
      <w:r w:rsidDel="00000000" w:rsidR="00000000" w:rsidRPr="00000000">
        <w:rPr>
          <w:rFonts w:ascii="Arial Nova" w:cs="Arial Nova" w:eastAsia="Arial Nova" w:hAnsi="Arial Nova"/>
          <w:b w:val="1"/>
          <w:i w:val="1"/>
          <w:rtl w:val="0"/>
        </w:rPr>
        <w:t xml:space="preserve">Programa Municipal de Desarrollo Urbano Tapalpa: Límites de centro de población.</w:t>
      </w:r>
      <w:r w:rsidDel="00000000" w:rsidR="00000000" w:rsidRPr="00000000">
        <w:rPr>
          <w:rFonts w:ascii="Arial Nova" w:cs="Arial Nova" w:eastAsia="Arial Nova" w:hAnsi="Arial Nova"/>
          <w:i w:val="1"/>
          <w:rtl w:val="0"/>
        </w:rPr>
        <w:t xml:space="preserve"> Escala 1:50,000. [Vectorial]. </w:t>
      </w:r>
      <w:r w:rsidDel="00000000" w:rsidR="00000000" w:rsidRPr="00000000">
        <w:rPr>
          <w:rFonts w:ascii="Arial Nova" w:cs="Arial Nova" w:eastAsia="Arial Nova" w:hAnsi="Arial Nova"/>
          <w:rtl w:val="0"/>
        </w:rPr>
        <w:t xml:space="preserve">Dirección Estratégica de Planeación, Ordenamiento Territorial y Gestión Urbana. Secretaría de Medio Ambiente y Desarrollo Territorial del Gobierno del Estado de Jalisco (SEMADET).</w:t>
      </w:r>
      <w:r w:rsidDel="00000000" w:rsidR="00000000" w:rsidRPr="00000000">
        <w:rPr>
          <w:rtl w:val="0"/>
        </w:rPr>
      </w:r>
    </w:p>
    <w:p w:rsidR="00000000" w:rsidDel="00000000" w:rsidP="00000000" w:rsidRDefault="00000000" w:rsidRPr="00000000" w14:paraId="00000091">
      <w:pPr>
        <w:jc w:val="both"/>
        <w:rPr>
          <w:rFonts w:ascii="Arial Nova" w:cs="Arial Nova" w:eastAsia="Arial Nova" w:hAnsi="Arial Nova"/>
          <w:i w:val="1"/>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Referencias.</w:t>
      </w:r>
    </w:p>
    <w:p w:rsidR="00000000" w:rsidDel="00000000" w:rsidP="00000000" w:rsidRDefault="00000000" w:rsidRPr="00000000" w14:paraId="00000093">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4">
      <w:pPr>
        <w:spacing w:line="240" w:lineRule="auto"/>
        <w:jc w:val="both"/>
        <w:rPr>
          <w:rFonts w:ascii="Arial Nova" w:cs="Arial Nova" w:eastAsia="Arial Nova" w:hAnsi="Arial Nova"/>
        </w:rPr>
      </w:pPr>
      <w:r w:rsidDel="00000000" w:rsidR="00000000" w:rsidRPr="00000000">
        <w:rPr>
          <w:rFonts w:ascii="Arial Nova" w:cs="Arial Nova" w:eastAsia="Arial Nova" w:hAnsi="Arial Nova"/>
          <w:rtl w:val="0"/>
        </w:rPr>
        <w:t xml:space="preserve">N/A</w:t>
      </w:r>
    </w:p>
    <w:p w:rsidR="00000000" w:rsidDel="00000000" w:rsidP="00000000" w:rsidRDefault="00000000" w:rsidRPr="00000000" w14:paraId="00000095">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6">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Arial Rounded"/>
  <w:font w:name="Arial Nova"/>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mapa.jalisco.gob.mx/mapa" TargetMode="External"/><Relationship Id="rId9" Type="http://schemas.openxmlformats.org/officeDocument/2006/relationships/hyperlink" Target="mailto:alejandra.aguilarramirez@jalisco.gob.m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rdenamientoecologico.semadet@jalisco.gob.mx" TargetMode="External"/><Relationship Id="rId8" Type="http://schemas.openxmlformats.org/officeDocument/2006/relationships/hyperlink" Target="mailto:josue.diaz@jalisco.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2vbT20DT4ZofmAI/R2TzJv6b8A==">AMUW2mWOu9B3k9XlIBVBRDrpHvCYseG1NWwb1X6ibVwsN9woWKIuIEW3ZvP9gGz4kmgqSY4KHvopHaixAJI/0cmEuD4OTeGZA4Ph1Whfxd5Q8JissZ04suQU7eHVPSB/asTTZDYbVbij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